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52"/>
          <w:szCs w:val="52"/>
        </w:rPr>
        <w:t xml:space="preserve">XXXVIII Dwujęzyczne Liceum Ogólnokształcące </w:t>
      </w:r>
      <w:r>
        <w:rPr>
          <w:rFonts w:ascii="Times New Roman" w:hAnsi="Times New Roman"/>
          <w:sz w:val="52"/>
          <w:szCs w:val="52"/>
        </w:rPr>
        <w:t>im. Jana Nowaka-Jeziorańskiego w Poznaniu</w:t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Załącznik nr 1</w:t>
      </w:r>
      <w:r>
        <w:rPr>
          <w:rFonts w:ascii="Times New Roman" w:hAnsi="Times New Roman"/>
        </w:rPr>
        <w:br/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48"/>
          <w:szCs w:val="48"/>
        </w:rPr>
        <w:t>Ordynacja wyborcza</w:t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Regulamin Samorządu Uczniowskiego</w:t>
      </w:r>
      <w:r>
        <w:rPr>
          <w:rFonts w:ascii="Times New Roman" w:hAnsi="Times New Roman"/>
          <w:sz w:val="48"/>
          <w:szCs w:val="48"/>
        </w:rPr>
        <w:br/>
        <w:t>XXXVIII Dwujęzycznego Liceum Ogólnokształcącego</w:t>
        <w:br/>
        <w:t>w Poznaniu</w:t>
        <w:br/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Poznań, 202</w:t>
      </w:r>
      <w:r>
        <w:rPr>
          <w:rFonts w:ascii="Times New Roman" w:hAnsi="Times New Roman"/>
          <w:sz w:val="36"/>
          <w:szCs w:val="36"/>
        </w:rPr>
        <w:t>4</w:t>
      </w:r>
    </w:p>
    <w:p>
      <w:pPr>
        <w:pStyle w:val="Normal"/>
        <w:spacing w:lineRule="atLeast" w:line="0"/>
        <w:ind w:right="-1" w:hanging="0"/>
        <w:jc w:val="center"/>
        <w:rPr>
          <w:sz w:val="36"/>
          <w:szCs w:val="36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0"/>
        <w:ind w:right="-1" w:hanging="0"/>
        <w:jc w:val="center"/>
        <w:rPr>
          <w:sz w:val="36"/>
          <w:szCs w:val="36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sz w:val="32"/>
          <w:szCs w:val="32"/>
        </w:rPr>
        <w:t>Dział I</w:t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WYBORY DO SAMORZĄDU</w:t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sz w:val="32"/>
          <w:szCs w:val="32"/>
        </w:rPr>
        <w:t>Rozdział 1 – Zagadnienia podstawowe</w:t>
      </w:r>
      <w:r>
        <w:rPr>
          <w:rFonts w:ascii="Times New Roman" w:hAnsi="Times New Roman"/>
        </w:rPr>
        <w:br/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  <w:br/>
        <w:t>Wybory do Samorządu są równe, tajne, powszechne i bezpośrednie.</w:t>
        <w:br/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§2</w:t>
        <w:br/>
        <w:t>Prawo do głosowania i kandydatury posiada każdy członek Grona Uczniowskiego, za wyjątkiem osób objętych naganą dyrektorską w czasie trwania wyborów.</w:t>
      </w:r>
      <w:r>
        <w:rPr>
          <w:rFonts w:ascii="Times New Roman" w:hAnsi="Times New Roman"/>
        </w:rPr>
        <w:br/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Rozdział 2 – Komisja Wyborcza</w:t>
      </w:r>
      <w:r>
        <w:rPr>
          <w:rFonts w:ascii="Times New Roman" w:hAnsi="Times New Roman"/>
        </w:rPr>
        <w:br/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§3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</w:rPr>
        <w:t>Wybory do Samorządu przeprowadza Komisja Wyborcza, w skład której wchodzą uczniowie powołani przez Opiekuna Samorządu.</w:t>
        <w:br/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§4</w:t>
        <w:br/>
        <w:t>Członkowie Komisji Wyborczej tracą bierne prawo wyborcze.</w:t>
        <w:br/>
      </w:r>
    </w:p>
    <w:p>
      <w:pPr>
        <w:pStyle w:val="Normal"/>
        <w:spacing w:lineRule="atLeast" w:line="0"/>
        <w:ind w:right="-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§5</w:t>
        <w:br/>
        <w:t>Komisja Wyborcza powoływana jest na 3 tygodnie przed ustalonym przez Dyrektora Liceum terminem wyborów.</w:t>
        <w:br/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§6</w:t>
        <w:br/>
        <w:t>Do zadań Komisji Wyborczej należą:</w:t>
      </w:r>
    </w:p>
    <w:p>
      <w:pPr>
        <w:pStyle w:val="Normal"/>
        <w:numPr>
          <w:ilvl w:val="0"/>
          <w:numId w:val="1"/>
        </w:numPr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przygotowanie wyborów</w:t>
      </w:r>
    </w:p>
    <w:p>
      <w:pPr>
        <w:pStyle w:val="Normal"/>
        <w:numPr>
          <w:ilvl w:val="0"/>
          <w:numId w:val="1"/>
        </w:numPr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przeprowadzenie wyborów</w:t>
      </w:r>
    </w:p>
    <w:p>
      <w:pPr>
        <w:pStyle w:val="Normal"/>
        <w:numPr>
          <w:ilvl w:val="0"/>
          <w:numId w:val="1"/>
        </w:numPr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obliczenie głosów</w:t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sporządzenie protokołu z wyborów i ogłoszenie ich wyników</w:t>
      </w: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sz w:val="32"/>
          <w:szCs w:val="32"/>
        </w:rPr>
        <w:t>Rozdział 3 – Zasady kandydatury</w:t>
      </w:r>
      <w:r>
        <w:rPr>
          <w:rFonts w:ascii="Times New Roman" w:hAnsi="Times New Roman"/>
        </w:rPr>
        <w:br/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§7</w:t>
        <w:br/>
        <w:t>Kandydaci tworzą koalicje składające się z od 3 do 4 osób.</w:t>
        <w:br/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§8</w:t>
        <w:br/>
        <w:t>Koalicja na 2 tygodnie przed datą wyborów musi przekazać Opiekunowi Samorządu:</w:t>
      </w:r>
    </w:p>
    <w:p>
      <w:pPr>
        <w:pStyle w:val="Normal"/>
        <w:numPr>
          <w:ilvl w:val="0"/>
          <w:numId w:val="2"/>
        </w:numPr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nazwę koalicji</w:t>
      </w:r>
    </w:p>
    <w:p>
      <w:pPr>
        <w:pStyle w:val="Normal"/>
        <w:numPr>
          <w:ilvl w:val="0"/>
          <w:numId w:val="2"/>
        </w:numPr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skład koalicji z uwzględnieniem jej przewodniczącego</w:t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br/>
        <w:t>§9</w:t>
        <w:br/>
        <w:t>1. Koalicje mają prawo do prowadzenia kampanii wyborczych. W dniu głosowania obowiązuje cisza wyborcza, obejmująca tak przestrze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 xml:space="preserve">szkolną, jak i każdą przestrzeń uznawaną za publiczną (w szczególności powiązane ze szkołą media społecznościowe etc.). </w:t>
      </w:r>
      <w:r>
        <w:rPr>
          <w:rFonts w:ascii="Times New Roman" w:hAnsi="Times New Roman"/>
          <w:sz w:val="24"/>
          <w:szCs w:val="24"/>
        </w:rPr>
        <w:t>Złamanie ciszy wyborczej skutkuje natychmiastową dyskwalifikacja koalicji, która dopuściła się naruszenia.</w:t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2. Prowadzenie kampanii wyborczej upoważnia koalicje do rozmieszczania plakatów w miejscach wyznaczonych przez pracownika szkoły i za jego ustną zgodą oraz do rozprowadzania materiałów promocyjnych. Kampania powinna być prowadzona zgodnie z dotyczącymi Uczniów wymogami Statutu Szkolnego oraz powszechnie uznanymi zasadami współżycia społecznego, pod rygorem unieważnienia kandydatury koalicji dopuszczającej się naruszeń w/w zasad.</w:t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br/>
        <w:t>§10</w:t>
        <w:br/>
        <w:t xml:space="preserve">1. W przypadku, gdy zostaną zgłoszone 3 lub mniej koalicji, członkowie wszystkich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głoszonych koalicji zostają powołani na Członków Samorządu.</w:t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2. Gdy Samorząd składa się wówczas z 2 lub mniej koalicji i w powołanym składzie nie jest w stanie prawidłowo wykonywać swoich obowiązków, Członkowie Samorządu ogłaszają nabór i spośród indywidualnych kandydatów wybiera kolejnych Radnych.</w:t>
      </w:r>
    </w:p>
    <w:p>
      <w:pPr>
        <w:pStyle w:val="Normal"/>
        <w:spacing w:lineRule="atLeast" w:line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32"/>
          <w:szCs w:val="32"/>
        </w:rPr>
        <w:t>Rozdział 4 – Przebieg wyborów</w:t>
      </w:r>
      <w:r>
        <w:rPr>
          <w:rFonts w:ascii="Times New Roman" w:hAnsi="Times New Roman"/>
          <w:sz w:val="24"/>
          <w:szCs w:val="24"/>
        </w:rPr>
        <w:br/>
        <w:t>§11</w:t>
        <w:br/>
        <w:t>Do Samorządu Uczniowskiego dostają się 4 koalicje (z wyłączeniem koalicji z klas</w:t>
        <w:br/>
        <w:t>maturalnych) z najwyższą ilością głosów.</w:t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br/>
        <w:t>§12</w:t>
        <w:br/>
        <w:t>Jeśli suma głosów oddanych na 4 pierwsze koalicje nie przekracza 60% wszystkich ważnych</w:t>
        <w:br/>
        <w:t>głosów, do Samorządu Uczniowskiego dostaje się koalicja z następnym wynikiem.</w:t>
        <w:br/>
      </w:r>
      <w:r>
        <w:rPr>
          <w:rFonts w:ascii="Times New Roman" w:hAnsi="Times New Roman"/>
          <w:sz w:val="32"/>
          <w:szCs w:val="32"/>
        </w:rPr>
        <w:t>Dział II</w:t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36"/>
          <w:szCs w:val="36"/>
        </w:rPr>
        <w:t>WYBORY DO TRÓJEK KLASOWYCH</w:t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32"/>
          <w:szCs w:val="32"/>
        </w:rPr>
        <w:t>Rozdział 1 – Zagadnienia podstawowe</w:t>
      </w:r>
      <w:r>
        <w:rPr>
          <w:rFonts w:ascii="Times New Roman" w:hAnsi="Times New Roman"/>
          <w:sz w:val="24"/>
          <w:szCs w:val="24"/>
        </w:rPr>
        <w:br/>
        <w:t>§1</w:t>
        <w:br/>
        <w:t>Wybory do Trójek Klasowych odbywają się wewnątrz klasy oraz przebiegają na zasadach</w:t>
        <w:br/>
        <w:t>ustalonych przez członków klasy w dniu głosowania i podlegają nadzorowi wychowawcy.</w:t>
        <w:br/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§2</w:t>
        <w:br/>
        <w:t>Prawo do głosowania i kandydatury posiada każdy członek klasy.</w:t>
        <w:br/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32"/>
          <w:szCs w:val="32"/>
        </w:rPr>
        <w:t>Rozdział 2 – Zasady kandydatury</w:t>
      </w:r>
      <w:r>
        <w:rPr>
          <w:rFonts w:ascii="Times New Roman" w:hAnsi="Times New Roman"/>
          <w:sz w:val="24"/>
          <w:szCs w:val="24"/>
        </w:rPr>
        <w:br/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br/>
        <w:t>Kandydaci wybierają stanowisko, na które zgłaszają chęć kandydatury, spośród</w:t>
        <w:br/>
        <w:t>następujących:</w:t>
      </w:r>
    </w:p>
    <w:p>
      <w:pPr>
        <w:pStyle w:val="Normal"/>
        <w:spacing w:lineRule="atLeast" w:line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Przewodniczący Klasy</w:t>
        <w:br/>
        <w:t>Zastępca Przewodniczącego Klasy</w:t>
        <w:br/>
        <w:t>Skarbnik Klasy</w:t>
        <w:br/>
      </w:r>
    </w:p>
    <w:p>
      <w:pPr>
        <w:pStyle w:val="Normal"/>
        <w:numPr>
          <w:ilvl w:val="0"/>
          <w:numId w:val="0"/>
        </w:numPr>
        <w:spacing w:lineRule="atLeast" w:line="0"/>
        <w:ind w:left="720" w:hanging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Rozdział 3 – Przebieg wyborów</w:t>
        <w:br/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br/>
        <w:t>Na stanowiska w Trójce Klasowej powoływani są uczniowie z największą ilością głosów.</w:t>
        <w:br/>
      </w:r>
    </w:p>
    <w:p>
      <w:pPr>
        <w:pStyle w:val="Normal"/>
        <w:spacing w:lineRule="atLeast" w:line="0"/>
        <w:jc w:val="center"/>
        <w:rPr/>
      </w:pPr>
      <w:r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br/>
        <w:t>W przypadku braku kandydatów na dane stanowisko, wychowawca dokonuje wyboru ucznia.</w:t>
      </w:r>
    </w:p>
    <w:sectPr>
      <w:headerReference w:type="default" r:id="rId2"/>
      <w:footerReference w:type="default" r:id="rId3"/>
      <w:type w:val="nextPage"/>
      <w:pgSz w:orient="landscape" w:w="16838" w:h="11906"/>
      <w:pgMar w:left="1843" w:right="993" w:gutter="0" w:header="708" w:top="1417" w:footer="708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Myriad Pro">
    <w:charset w:val="ee"/>
    <w:family w:val="roman"/>
    <w:pitch w:val="variable"/>
  </w:font>
  <w:font w:name="Lucida Grande CE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21368920"/>
    </w:sdtPr>
    <w:sdtContent>
      <w:p>
        <w:pPr>
          <w:pStyle w:val="Stopka"/>
          <w:jc w:val="right"/>
          <w:rPr>
            <w:rFonts w:ascii="Calibri" w:hAnsi="Calibri" w:asciiTheme="majorHAnsi" w:hAnsiTheme="majorHAnsi"/>
            <w:sz w:val="28"/>
            <w:szCs w:val="28"/>
          </w:rPr>
        </w:pPr>
        <w:r>
          <w:rPr>
            <w:rFonts w:ascii="Calibri" w:hAnsi="Calibri" w:asciiTheme="majorHAnsi" w:hAnsiTheme="majorHAnsi"/>
            <w:sz w:val="28"/>
            <w:szCs w:val="28"/>
          </w:rPr>
          <w:t xml:space="preserve">str. </w:t>
        </w:r>
        <w:r>
          <w:rPr>
            <w:rFonts w:ascii="Calibri" w:hAnsi="Calibri"/>
            <w:sz w:val="28"/>
            <w:szCs w:val="28"/>
          </w:rPr>
          <w:fldChar w:fldCharType="begin"/>
        </w:r>
        <w:r>
          <w:rPr>
            <w:sz w:val="28"/>
            <w:szCs w:val="28"/>
            <w:rFonts w:ascii="Calibri" w:hAnsi="Calibri"/>
          </w:rPr>
          <w:instrText> PAGE </w:instrText>
        </w:r>
        <w:r>
          <w:rPr>
            <w:sz w:val="28"/>
            <w:szCs w:val="28"/>
            <w:rFonts w:ascii="Calibri" w:hAnsi="Calibri"/>
          </w:rPr>
          <w:fldChar w:fldCharType="separate"/>
        </w:r>
        <w:r>
          <w:rPr>
            <w:sz w:val="28"/>
            <w:szCs w:val="28"/>
            <w:rFonts w:ascii="Calibri" w:hAnsi="Calibri"/>
          </w:rPr>
          <w:t>4</w:t>
        </w:r>
        <w:r>
          <w:rPr>
            <w:sz w:val="28"/>
            <w:szCs w:val="28"/>
            <w:rFonts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68565" cy="904240"/>
          <wp:effectExtent l="0" t="0" r="0" b="0"/>
          <wp:wrapNone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90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yriad Pro" w:hAnsi="Myriad Pro" w:eastAsia="" w:cs="Arial" w:eastAsiaTheme="minorEastAsia"/>
        <w:sz w:val="18"/>
        <w:szCs w:val="18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2880"/>
    <w:pPr>
      <w:widowControl/>
      <w:suppressAutoHyphens w:val="true"/>
      <w:bidi w:val="0"/>
      <w:spacing w:before="0" w:after="0"/>
      <w:jc w:val="left"/>
    </w:pPr>
    <w:rPr>
      <w:rFonts w:ascii="Myriad Pro" w:hAnsi="Myriad Pro" w:eastAsia="" w:cs="Arial" w:eastAsiaTheme="minorEastAsia"/>
      <w:color w:val="auto"/>
      <w:kern w:val="0"/>
      <w:sz w:val="18"/>
      <w:szCs w:val="18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333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333f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333f"/>
    <w:rPr>
      <w:rFonts w:ascii="Lucida Grande CE" w:hAnsi="Lucida Grande CE" w:cs="Lucida Grande CE"/>
    </w:rPr>
  </w:style>
  <w:style w:type="character" w:styleId="A9">
    <w:name w:val="A9"/>
    <w:qFormat/>
    <w:rPr>
      <w:rFonts w:cs="Myriad Pro"/>
      <w:color w:val="000000"/>
      <w:sz w:val="22"/>
      <w:szCs w:val="22"/>
    </w:rPr>
  </w:style>
  <w:style w:type="character" w:styleId="A4">
    <w:name w:val="A4"/>
    <w:qFormat/>
    <w:rPr>
      <w:rFonts w:cs="Myriad Pro"/>
      <w:color w:val="000000"/>
      <w:sz w:val="22"/>
      <w:szCs w:val="22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333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0333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333f"/>
    <w:pPr/>
    <w:rPr>
      <w:rFonts w:ascii="Lucida Grande CE" w:hAnsi="Lucida Grande CE" w:cs="Lucida Grande CE"/>
    </w:rPr>
  </w:style>
  <w:style w:type="paragraph" w:styleId="Default" w:customStyle="1">
    <w:name w:val="Default"/>
    <w:qFormat/>
    <w:rsid w:val="00e52611"/>
    <w:pPr>
      <w:widowControl/>
      <w:suppressAutoHyphens w:val="true"/>
      <w:bidi w:val="0"/>
      <w:spacing w:before="0" w:after="0"/>
      <w:jc w:val="left"/>
    </w:pPr>
    <w:rPr>
      <w:rFonts w:ascii="Calibri" w:hAnsi="Calibri" w:eastAsia="" w:cs="Calibri"/>
      <w:color w:val="000000"/>
      <w:kern w:val="0"/>
      <w:sz w:val="24"/>
      <w:szCs w:val="24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1" w:before="0" w:after="47"/>
      <w:ind w:left="1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l-PL" w:eastAsia="pl-PL" w:bidi="ar-SA"/>
    </w:rPr>
  </w:style>
  <w:style w:type="paragraph" w:styleId="Pa17">
    <w:name w:val="Pa17"/>
    <w:basedOn w:val="Normal"/>
    <w:next w:val="Normal"/>
    <w:qFormat/>
    <w:pPr>
      <w:spacing w:lineRule="atLeast" w:line="241" w:before="0" w:after="0"/>
      <w:jc w:val="left"/>
    </w:pPr>
    <w:rPr>
      <w:rFonts w:ascii="Myriad Pro" w:hAnsi="Myriad Pro" w:eastAsia="Cambria" w:cs="" w:cstheme="minorBidi" w:eastAsiaTheme="minorHAnsi"/>
      <w:iCs w:val="false"/>
      <w:sz w:val="24"/>
      <w:szCs w:val="24"/>
    </w:rPr>
  </w:style>
  <w:style w:type="paragraph" w:styleId="Pa19">
    <w:name w:val="Pa19"/>
    <w:basedOn w:val="Default"/>
    <w:next w:val="Default"/>
    <w:qFormat/>
    <w:pPr>
      <w:spacing w:lineRule="atLeast" w:line="221"/>
    </w:pPr>
    <w:rPr>
      <w:rFonts w:cs="" w:cstheme="minorBidi"/>
      <w:color w:val="auto"/>
    </w:rPr>
  </w:style>
  <w:style w:type="paragraph" w:styleId="TabelaszerokaNormalny">
    <w:name w:val="Tabela szeroka Normalny"/>
    <w:basedOn w:val="Tretekstu"/>
    <w:qFormat/>
    <w:pPr>
      <w:suppressAutoHyphens w:val="true"/>
      <w:spacing w:before="0" w:after="0"/>
      <w:jc w:val="left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AB042-948A-4749-82EA-5BEA480A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LibreOffice/7.2.3.2$Windows_X86_64 LibreOffice_project/d166454616c1632304285822f9c83ce2e660fd92</Application>
  <AppVersion>15.0000</AppVersion>
  <Pages>4</Pages>
  <Words>464</Words>
  <Characters>2995</Characters>
  <CharactersWithSpaces>3448</CharactersWithSpaces>
  <Paragraphs>41</Paragraphs>
  <Company>Fabryka Konceptu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2022-11-24T11:17:00Z</dcterms:created>
  <dc:creator>Sławomir Jurewicz</dc:creator>
  <dc:description/>
  <dc:language>pl-PL</dc:language>
  <cp:lastModifiedBy/>
  <dcterms:modified xsi:type="dcterms:W3CDTF">2024-09-09T20:32:24Z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